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NL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NL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Manuscript</w:t>
      </w:r>
      <w:r>
        <w:rPr>
          <w:spacing w:val="-7"/>
        </w:rPr>
        <w:t> </w:t>
      </w:r>
      <w:r>
        <w:rPr/>
        <w:t>voltooid</w:t>
      </w:r>
      <w:r>
        <w:rPr>
          <w:spacing w:val="-7"/>
        </w:rPr>
        <w:t> </w:t>
      </w:r>
      <w:r>
        <w:rPr/>
        <w:t>in</w:t>
      </w:r>
      <w:r>
        <w:rPr>
          <w:spacing w:val="-7"/>
        </w:rPr>
        <w:t> </w:t>
      </w:r>
      <w:r>
        <w:rPr/>
        <w:t>[maand]</w:t>
      </w:r>
      <w:r>
        <w:rPr>
          <w:spacing w:val="-6"/>
        </w:rPr>
        <w:t> </w:t>
      </w:r>
      <w:r>
        <w:rPr>
          <w:spacing w:val="-2"/>
        </w:rPr>
        <w:t>[jaar]</w:t>
      </w:r>
    </w:p>
    <w:p>
      <w:pPr>
        <w:pStyle w:val="BodyText"/>
        <w:spacing w:line="540" w:lineRule="atLeast"/>
        <w:ind w:right="3986"/>
      </w:pPr>
      <w:r>
        <w:rPr/>
        <w:t>Herziene</w:t>
      </w:r>
      <w:r>
        <w:rPr>
          <w:spacing w:val="-14"/>
        </w:rPr>
        <w:t> </w:t>
      </w:r>
      <w:r>
        <w:rPr/>
        <w:t>uitgave/Gecorrigeerde</w:t>
      </w:r>
      <w:r>
        <w:rPr>
          <w:spacing w:val="-14"/>
        </w:rPr>
        <w:t> </w:t>
      </w:r>
      <w:r>
        <w:rPr/>
        <w:t>uitgave/[Eerste/Tweede/</w:t>
      </w:r>
      <w:r>
        <w:rPr>
          <w:i/>
        </w:rPr>
        <w:t>n</w:t>
      </w:r>
      <w:r>
        <w:rPr/>
        <w:t>e]</w:t>
      </w:r>
      <w:r>
        <w:rPr>
          <w:spacing w:val="-14"/>
        </w:rPr>
        <w:t> </w:t>
      </w:r>
      <w:r>
        <w:rPr/>
        <w:t>uitgave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994"/>
      </w:pPr>
      <w:r>
        <w:rPr/>
        <w:t>Dit</w:t>
      </w:r>
      <w:r>
        <w:rPr>
          <w:spacing w:val="-4"/>
        </w:rPr>
        <w:t> </w:t>
      </w:r>
      <w:r>
        <w:rPr/>
        <w:t>document</w:t>
      </w:r>
      <w:r>
        <w:rPr>
          <w:spacing w:val="-4"/>
        </w:rPr>
        <w:t> </w:t>
      </w:r>
      <w:r>
        <w:rPr/>
        <w:t>mag</w:t>
      </w:r>
      <w:r>
        <w:rPr>
          <w:spacing w:val="-4"/>
        </w:rPr>
        <w:t> </w:t>
      </w:r>
      <w:r>
        <w:rPr/>
        <w:t>niet</w:t>
      </w:r>
      <w:r>
        <w:rPr>
          <w:spacing w:val="-4"/>
        </w:rPr>
        <w:t> </w:t>
      </w:r>
      <w:r>
        <w:rPr/>
        <w:t>als</w:t>
      </w:r>
      <w:r>
        <w:rPr>
          <w:spacing w:val="-4"/>
        </w:rPr>
        <w:t> </w:t>
      </w:r>
      <w:r>
        <w:rPr/>
        <w:t>officieel</w:t>
      </w:r>
      <w:r>
        <w:rPr>
          <w:spacing w:val="-4"/>
        </w:rPr>
        <w:t> </w:t>
      </w:r>
      <w:r>
        <w:rPr/>
        <w:t>standpunt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Europese</w:t>
      </w:r>
      <w:r>
        <w:rPr>
          <w:spacing w:val="-4"/>
        </w:rPr>
        <w:t> </w:t>
      </w:r>
      <w:r>
        <w:rPr/>
        <w:t>Commissie</w:t>
      </w:r>
      <w:r>
        <w:rPr>
          <w:spacing w:val="-4"/>
        </w:rPr>
        <w:t> </w:t>
      </w:r>
      <w:r>
        <w:rPr/>
        <w:t>worden</w:t>
      </w:r>
      <w:r>
        <w:rPr>
          <w:spacing w:val="-4"/>
        </w:rPr>
        <w:t> </w:t>
      </w:r>
      <w:r>
        <w:rPr/>
        <w:t>beschouwd. Luxemburg: Bureau voor publicaties van de Europese Unie, [jaar]</w:t>
      </w:r>
    </w:p>
    <w:p>
      <w:pPr>
        <w:pStyle w:val="BodyText"/>
        <w:spacing w:line="348" w:lineRule="auto"/>
        <w:ind w:right="3986"/>
      </w:pPr>
      <w:r>
        <w:rPr/>
        <w:t>©</w:t>
      </w:r>
      <w:r>
        <w:rPr>
          <w:spacing w:val="-7"/>
        </w:rPr>
        <w:t> </w:t>
      </w:r>
      <w:r>
        <w:rPr/>
        <w:t>[Europese</w:t>
      </w:r>
      <w:r>
        <w:rPr>
          <w:spacing w:val="-7"/>
        </w:rPr>
        <w:t> </w:t>
      </w:r>
      <w:r>
        <w:rPr/>
        <w:t>Unie/Europese</w:t>
      </w:r>
      <w:r>
        <w:rPr>
          <w:spacing w:val="-7"/>
        </w:rPr>
        <w:t> </w:t>
      </w:r>
      <w:r>
        <w:rPr/>
        <w:t>Gemeenschap</w:t>
      </w:r>
      <w:r>
        <w:rPr>
          <w:spacing w:val="-7"/>
        </w:rPr>
        <w:t> </w:t>
      </w:r>
      <w:r>
        <w:rPr/>
        <w:t>voor</w:t>
      </w:r>
      <w:r>
        <w:rPr>
          <w:spacing w:val="-7"/>
        </w:rPr>
        <w:t> </w:t>
      </w:r>
      <w:r>
        <w:rPr/>
        <w:t>Atoomenergie],</w:t>
      </w:r>
      <w:r>
        <w:rPr>
          <w:spacing w:val="-7"/>
        </w:rPr>
        <w:t> </w:t>
      </w:r>
      <w:r>
        <w:rPr/>
        <w:t>[jaar]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  <w:ind w:right="388"/>
      </w:pPr>
      <w:r>
        <w:rPr/>
        <w:t>©</w:t>
      </w:r>
      <w:r>
        <w:rPr>
          <w:spacing w:val="-4"/>
        </w:rPr>
        <w:t> </w:t>
      </w:r>
      <w:r>
        <w:rPr/>
        <w:t>[Europese</w:t>
      </w:r>
      <w:r>
        <w:rPr>
          <w:spacing w:val="-4"/>
        </w:rPr>
        <w:t> </w:t>
      </w:r>
      <w:r>
        <w:rPr/>
        <w:t>Unie/Europese</w:t>
      </w:r>
      <w:r>
        <w:rPr>
          <w:spacing w:val="-4"/>
        </w:rPr>
        <w:t> </w:t>
      </w:r>
      <w:r>
        <w:rPr/>
        <w:t>Gemeenschap</w:t>
      </w:r>
      <w:r>
        <w:rPr>
          <w:spacing w:val="-4"/>
        </w:rPr>
        <w:t> </w:t>
      </w:r>
      <w:r>
        <w:rPr/>
        <w:t>voor</w:t>
      </w:r>
      <w:r>
        <w:rPr>
          <w:spacing w:val="-4"/>
        </w:rPr>
        <w:t> </w:t>
      </w:r>
      <w:r>
        <w:rPr/>
        <w:t>Atoomenergie],</w:t>
      </w:r>
      <w:r>
        <w:rPr>
          <w:spacing w:val="-4"/>
        </w:rPr>
        <w:t> </w:t>
      </w:r>
      <w:r>
        <w:rPr/>
        <w:t>[jaar].</w:t>
      </w:r>
      <w:r>
        <w:rPr>
          <w:spacing w:val="-4"/>
        </w:rPr>
        <w:t> </w:t>
      </w:r>
      <w:r>
        <w:rPr/>
        <w:t>Sommige</w:t>
      </w:r>
      <w:r>
        <w:rPr>
          <w:spacing w:val="-4"/>
        </w:rPr>
        <w:t> </w:t>
      </w:r>
      <w:r>
        <w:rPr/>
        <w:t>inhoud</w:t>
      </w:r>
      <w:r>
        <w:rPr>
          <w:spacing w:val="-4"/>
        </w:rPr>
        <w:t> </w:t>
      </w:r>
      <w:r>
        <w:rPr/>
        <w:t>is</w:t>
      </w:r>
      <w:r>
        <w:rPr>
          <w:spacing w:val="-4"/>
        </w:rPr>
        <w:t> </w:t>
      </w:r>
      <w:r>
        <w:rPr/>
        <w:t>gecreëerd</w:t>
      </w:r>
      <w:r>
        <w:rPr>
          <w:spacing w:val="-4"/>
        </w:rPr>
        <w:t> </w:t>
      </w:r>
      <w:r>
        <w:rPr/>
        <w:t>met</w:t>
      </w:r>
      <w:r>
        <w:rPr>
          <w:spacing w:val="-4"/>
        </w:rPr>
        <w:t> </w:t>
      </w:r>
      <w:r>
        <w:rPr/>
        <w:t>behulp van [naam van AI-tool].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97"/>
        <w:jc w:val="both"/>
      </w:pPr>
      <w:r>
        <w:rPr/>
        <w:t>De</w:t>
      </w:r>
      <w:r>
        <w:rPr>
          <w:spacing w:val="-4"/>
        </w:rPr>
        <w:t> </w:t>
      </w:r>
      <w:r>
        <w:rPr/>
        <w:t>voorwaarden</w:t>
      </w:r>
      <w:r>
        <w:rPr>
          <w:spacing w:val="-4"/>
        </w:rPr>
        <w:t> </w:t>
      </w:r>
      <w:r>
        <w:rPr/>
        <w:t>voor</w:t>
      </w:r>
      <w:r>
        <w:rPr>
          <w:spacing w:val="-4"/>
        </w:rPr>
        <w:t> </w:t>
      </w:r>
      <w:r>
        <w:rPr/>
        <w:t>het</w:t>
      </w:r>
      <w:r>
        <w:rPr>
          <w:spacing w:val="-4"/>
        </w:rPr>
        <w:t> </w:t>
      </w:r>
      <w:r>
        <w:rPr/>
        <w:t>hergebruik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documenten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Commissie</w:t>
      </w:r>
      <w:r>
        <w:rPr>
          <w:spacing w:val="-4"/>
        </w:rPr>
        <w:t> </w:t>
      </w:r>
      <w:r>
        <w:rPr/>
        <w:t>zijn</w:t>
      </w:r>
      <w:r>
        <w:rPr>
          <w:spacing w:val="-4"/>
        </w:rPr>
        <w:t> </w:t>
      </w:r>
      <w:r>
        <w:rPr/>
        <w:t>vastgelegd</w:t>
      </w:r>
      <w:r>
        <w:rPr>
          <w:spacing w:val="-4"/>
        </w:rPr>
        <w:t> </w:t>
      </w:r>
      <w:r>
        <w:rPr/>
        <w:t>in</w:t>
      </w:r>
      <w:r>
        <w:rPr>
          <w:spacing w:val="-4"/>
        </w:rPr>
        <w:t> </w:t>
      </w:r>
      <w:r>
        <w:rPr/>
        <w:t>Besluit</w:t>
      </w:r>
      <w:r>
        <w:rPr>
          <w:spacing w:val="-4"/>
        </w:rPr>
        <w:t> </w:t>
      </w:r>
      <w:r>
        <w:rPr/>
        <w:t>2011/833/EU</w:t>
      </w:r>
      <w:r>
        <w:rPr>
          <w:spacing w:val="-4"/>
        </w:rPr>
        <w:t> </w:t>
      </w:r>
      <w:r>
        <w:rPr/>
        <w:t>van de</w:t>
      </w:r>
      <w:r>
        <w:rPr>
          <w:spacing w:val="-4"/>
        </w:rPr>
        <w:t> </w:t>
      </w:r>
      <w:r>
        <w:rPr/>
        <w:t>Commissie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12</w:t>
      </w:r>
      <w:r>
        <w:rPr>
          <w:spacing w:val="-4"/>
        </w:rPr>
        <w:t> </w:t>
      </w:r>
      <w:r>
        <w:rPr/>
        <w:t>december</w:t>
      </w:r>
      <w:r>
        <w:rPr>
          <w:spacing w:val="-4"/>
        </w:rPr>
        <w:t> </w:t>
      </w:r>
      <w:r>
        <w:rPr/>
        <w:t>2011</w:t>
      </w:r>
      <w:r>
        <w:rPr>
          <w:spacing w:val="-4"/>
        </w:rPr>
        <w:t> </w:t>
      </w:r>
      <w:r>
        <w:rPr/>
        <w:t>betreffende</w:t>
      </w:r>
      <w:r>
        <w:rPr>
          <w:spacing w:val="-4"/>
        </w:rPr>
        <w:t> </w:t>
      </w:r>
      <w:r>
        <w:rPr/>
        <w:t>het</w:t>
      </w:r>
      <w:r>
        <w:rPr>
          <w:spacing w:val="-4"/>
        </w:rPr>
        <w:t> </w:t>
      </w:r>
      <w:r>
        <w:rPr/>
        <w:t>hergebruik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documenten</w:t>
      </w:r>
      <w:r>
        <w:rPr>
          <w:spacing w:val="-4"/>
        </w:rPr>
        <w:t> </w:t>
      </w:r>
      <w:r>
        <w:rPr/>
        <w:t>van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Commissie</w:t>
      </w:r>
      <w:r>
        <w:rPr>
          <w:spacing w:val="-4"/>
        </w:rPr>
        <w:t> </w:t>
      </w:r>
      <w:r>
        <w:rPr/>
        <w:t>(PB</w:t>
      </w:r>
      <w:r>
        <w:rPr>
          <w:spacing w:val="-4"/>
        </w:rPr>
        <w:t> </w:t>
      </w:r>
      <w:r>
        <w:rPr/>
        <w:t>L</w:t>
      </w:r>
      <w:r>
        <w:rPr>
          <w:spacing w:val="-4"/>
        </w:rPr>
        <w:t> </w:t>
      </w:r>
      <w:r>
        <w:rPr/>
        <w:t>330</w:t>
      </w:r>
      <w:r>
        <w:rPr>
          <w:spacing w:val="-4"/>
        </w:rPr>
        <w:t> </w:t>
      </w:r>
      <w:r>
        <w:rPr/>
        <w:t>van 14.12.2011, blz. 39, ELI: </w:t>
      </w:r>
      <w:hyperlink r:id="rId6">
        <w:r>
          <w:rPr>
            <w:color w:val="0000FF"/>
            <w:u w:val="single" w:color="0000FF"/>
          </w:rPr>
          <w:t>http://data.europa.eu/eli/dec/2011/833/oj</w:t>
        </w:r>
      </w:hyperlink>
      <w:r>
        <w:rPr>
          <w:u w:val="none"/>
        </w:rPr>
        <w:t>).</w:t>
      </w:r>
    </w:p>
    <w:p>
      <w:pPr>
        <w:pStyle w:val="BodyText"/>
        <w:spacing w:line="244" w:lineRule="auto" w:before="98"/>
      </w:pPr>
      <w:r>
        <w:rPr/>
        <w:t>Tenzij</w:t>
      </w:r>
      <w:r>
        <w:rPr>
          <w:spacing w:val="-5"/>
        </w:rPr>
        <w:t> </w:t>
      </w:r>
      <w:r>
        <w:rPr/>
        <w:t>anders</w:t>
      </w:r>
      <w:r>
        <w:rPr>
          <w:spacing w:val="-5"/>
        </w:rPr>
        <w:t> </w:t>
      </w:r>
      <w:r>
        <w:rPr/>
        <w:t>vermeld,</w:t>
      </w:r>
      <w:r>
        <w:rPr>
          <w:spacing w:val="-5"/>
        </w:rPr>
        <w:t> </w:t>
      </w:r>
      <w:r>
        <w:rPr/>
        <w:t>is</w:t>
      </w:r>
      <w:r>
        <w:rPr>
          <w:spacing w:val="-5"/>
        </w:rPr>
        <w:t> </w:t>
      </w:r>
      <w:r>
        <w:rPr/>
        <w:t>hergebruik</w:t>
      </w:r>
      <w:r>
        <w:rPr>
          <w:spacing w:val="-5"/>
        </w:rPr>
        <w:t> </w:t>
      </w:r>
      <w:r>
        <w:rPr/>
        <w:t>van</w:t>
      </w:r>
      <w:r>
        <w:rPr>
          <w:spacing w:val="-5"/>
        </w:rPr>
        <w:t> </w:t>
      </w:r>
      <w:r>
        <w:rPr/>
        <w:t>dit</w:t>
      </w:r>
      <w:r>
        <w:rPr>
          <w:spacing w:val="-5"/>
        </w:rPr>
        <w:t> </w:t>
      </w:r>
      <w:r>
        <w:rPr/>
        <w:t>document</w:t>
      </w:r>
      <w:r>
        <w:rPr>
          <w:spacing w:val="-5"/>
        </w:rPr>
        <w:t> </w:t>
      </w:r>
      <w:r>
        <w:rPr/>
        <w:t>toegestaan</w:t>
      </w:r>
      <w:r>
        <w:rPr>
          <w:spacing w:val="-5"/>
        </w:rPr>
        <w:t> </w:t>
      </w:r>
      <w:r>
        <w:rPr/>
        <w:t>krachtens</w:t>
      </w:r>
      <w:r>
        <w:rPr>
          <w:spacing w:val="-5"/>
        </w:rPr>
        <w:t> </w:t>
      </w:r>
      <w:r>
        <w:rPr/>
        <w:t>een</w:t>
      </w:r>
      <w:r>
        <w:rPr>
          <w:spacing w:val="-5"/>
        </w:rPr>
        <w:t> </w:t>
      </w:r>
      <w:r>
        <w:rPr/>
        <w:t>Creative</w:t>
      </w:r>
      <w:r>
        <w:rPr>
          <w:spacing w:val="-5"/>
        </w:rPr>
        <w:t> </w:t>
      </w:r>
      <w:r>
        <w:rPr/>
        <w:t>Commons</w:t>
      </w:r>
      <w:r>
        <w:rPr>
          <w:spacing w:val="-5"/>
        </w:rPr>
        <w:t> </w:t>
      </w:r>
      <w:r>
        <w:rPr/>
        <w:t>Attribution</w:t>
      </w:r>
      <w:r>
        <w:rPr>
          <w:spacing w:val="-5"/>
        </w:rPr>
        <w:t> </w:t>
      </w:r>
      <w:r>
        <w:rPr/>
        <w:t>4.0 International (CC BY 4.0)-licentie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Dit betekent dat hergebruik is toegestaan, mits de bron correct wordt aangegeven en eventuele wijzigingen worden vermeld.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  <w:jc w:val="both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  <w:ind w:right="284"/>
        <w:jc w:val="both"/>
      </w:pPr>
      <w:r>
        <w:rPr/>
        <w:t>Voor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gebruik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reproductie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onderdelen</w:t>
      </w:r>
      <w:r>
        <w:rPr>
          <w:spacing w:val="-3"/>
        </w:rPr>
        <w:t> </w:t>
      </w:r>
      <w:r>
        <w:rPr/>
        <w:t>die</w:t>
      </w:r>
      <w:r>
        <w:rPr>
          <w:spacing w:val="-3"/>
        </w:rPr>
        <w:t> </w:t>
      </w:r>
      <w:r>
        <w:rPr/>
        <w:t>niet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eigendom</w:t>
      </w:r>
      <w:r>
        <w:rPr>
          <w:spacing w:val="-3"/>
        </w:rPr>
        <w:t> </w:t>
      </w:r>
      <w:r>
        <w:rPr/>
        <w:t>zijn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Europese</w:t>
      </w:r>
      <w:r>
        <w:rPr>
          <w:spacing w:val="-3"/>
        </w:rPr>
        <w:t> </w:t>
      </w:r>
      <w:r>
        <w:rPr/>
        <w:t>Unie,</w:t>
      </w:r>
      <w:r>
        <w:rPr>
          <w:spacing w:val="-3"/>
        </w:rPr>
        <w:t> </w:t>
      </w:r>
      <w:r>
        <w:rPr/>
        <w:t>kan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nodig zijn</w:t>
      </w:r>
      <w:r>
        <w:rPr>
          <w:spacing w:val="-3"/>
        </w:rPr>
        <w:t> </w:t>
      </w:r>
      <w:r>
        <w:rPr/>
        <w:t>rechtstreeks</w:t>
      </w:r>
      <w:r>
        <w:rPr>
          <w:spacing w:val="-3"/>
        </w:rPr>
        <w:t> </w:t>
      </w:r>
      <w:r>
        <w:rPr/>
        <w:t>om</w:t>
      </w:r>
      <w:r>
        <w:rPr>
          <w:spacing w:val="-3"/>
        </w:rPr>
        <w:t> </w:t>
      </w:r>
      <w:r>
        <w:rPr/>
        <w:t>toestemming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respectieve</w:t>
      </w:r>
      <w:r>
        <w:rPr>
          <w:spacing w:val="-3"/>
        </w:rPr>
        <w:t> </w:t>
      </w:r>
      <w:r>
        <w:rPr/>
        <w:t>houders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recht</w:t>
      </w:r>
      <w:r>
        <w:rPr>
          <w:spacing w:val="-3"/>
        </w:rPr>
        <w:t> </w:t>
      </w:r>
      <w:r>
        <w:rPr/>
        <w:t>te</w:t>
      </w:r>
      <w:r>
        <w:rPr>
          <w:spacing w:val="-3"/>
        </w:rPr>
        <w:t> </w:t>
      </w:r>
      <w:r>
        <w:rPr/>
        <w:t>verzoeken.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Europese</w:t>
      </w:r>
      <w:r>
        <w:rPr>
          <w:spacing w:val="-3"/>
        </w:rPr>
        <w:t> </w:t>
      </w:r>
      <w:r>
        <w:rPr/>
        <w:t>Unie</w:t>
      </w:r>
      <w:r>
        <w:rPr>
          <w:spacing w:val="-3"/>
        </w:rPr>
        <w:t> </w:t>
      </w:r>
      <w:r>
        <w:rPr/>
        <w:t>bezit geen auteursrecht ten aanzien van de volgende onderdelen: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both"/>
        <w:rPr>
          <w:sz w:val="20"/>
        </w:rPr>
      </w:pPr>
      <w:r>
        <w:rPr>
          <w:sz w:val="20"/>
        </w:rPr>
        <w:t>omslag,</w:t>
      </w:r>
      <w:r>
        <w:rPr>
          <w:spacing w:val="-12"/>
          <w:sz w:val="20"/>
        </w:rPr>
        <w:t> </w:t>
      </w:r>
      <w:r>
        <w:rPr>
          <w:sz w:val="20"/>
        </w:rPr>
        <w:t>[betreffend</w:t>
      </w:r>
      <w:r>
        <w:rPr>
          <w:spacing w:val="-10"/>
          <w:sz w:val="20"/>
        </w:rPr>
        <w:t> </w:t>
      </w:r>
      <w:r>
        <w:rPr>
          <w:sz w:val="20"/>
        </w:rPr>
        <w:t>element],</w:t>
      </w:r>
      <w:r>
        <w:rPr>
          <w:spacing w:val="-10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bron:</w:t>
      </w:r>
      <w:r>
        <w:rPr>
          <w:i/>
          <w:spacing w:val="-9"/>
          <w:sz w:val="20"/>
        </w:rPr>
        <w:t> </w:t>
      </w:r>
      <w:r>
        <w:rPr>
          <w:sz w:val="20"/>
        </w:rPr>
        <w:t>bv.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both"/>
        <w:rPr>
          <w:sz w:val="20"/>
        </w:rPr>
      </w:pPr>
      <w:r>
        <w:rPr>
          <w:sz w:val="20"/>
        </w:rPr>
        <w:t>blz.</w:t>
      </w:r>
      <w:r>
        <w:rPr>
          <w:spacing w:val="-9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[betreffend</w:t>
      </w:r>
      <w:r>
        <w:rPr>
          <w:spacing w:val="-7"/>
          <w:sz w:val="20"/>
        </w:rPr>
        <w:t> </w:t>
      </w:r>
      <w:r>
        <w:rPr>
          <w:sz w:val="20"/>
        </w:rPr>
        <w:t>element],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bron:</w:t>
      </w:r>
      <w:r>
        <w:rPr>
          <w:i/>
          <w:spacing w:val="-6"/>
          <w:sz w:val="20"/>
        </w:rPr>
        <w:t> </w:t>
      </w:r>
      <w:r>
        <w:rPr>
          <w:sz w:val="20"/>
        </w:rPr>
        <w:t>bv.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7"/>
          <w:sz w:val="20"/>
        </w:rPr>
        <w:t> </w:t>
      </w:r>
      <w:r>
        <w:rPr>
          <w:sz w:val="20"/>
        </w:rPr>
        <w:t>Stock],</w:t>
      </w:r>
      <w:r>
        <w:rPr>
          <w:spacing w:val="-7"/>
          <w:sz w:val="20"/>
        </w:rPr>
        <w:t> </w:t>
      </w:r>
      <w:r>
        <w:rPr>
          <w:sz w:val="20"/>
        </w:rPr>
        <w:t>[auteur],</w:t>
      </w:r>
      <w:r>
        <w:rPr>
          <w:spacing w:val="-7"/>
          <w:sz w:val="20"/>
        </w:rPr>
        <w:t> </w:t>
      </w:r>
      <w:r>
        <w:rPr>
          <w:sz w:val="20"/>
        </w:rPr>
        <w:t>alle</w:t>
      </w:r>
      <w:r>
        <w:rPr>
          <w:spacing w:val="-7"/>
          <w:sz w:val="20"/>
        </w:rPr>
        <w:t> </w:t>
      </w:r>
      <w:r>
        <w:rPr>
          <w:sz w:val="20"/>
        </w:rPr>
        <w:t>rechten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voorbehouden;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476" w:hanging="380"/>
        <w:jc w:val="both"/>
        <w:rPr>
          <w:sz w:val="20"/>
        </w:rPr>
      </w:pPr>
      <w:r>
        <w:rPr>
          <w:sz w:val="20"/>
        </w:rPr>
        <w:t>blz.</w:t>
      </w:r>
      <w:r>
        <w:rPr>
          <w:spacing w:val="-4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[betreffend</w:t>
      </w:r>
      <w:r>
        <w:rPr>
          <w:spacing w:val="-4"/>
          <w:sz w:val="20"/>
        </w:rPr>
        <w:t> </w:t>
      </w:r>
      <w:r>
        <w:rPr>
          <w:sz w:val="20"/>
        </w:rPr>
        <w:t>element],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bron:</w:t>
      </w:r>
      <w:r>
        <w:rPr>
          <w:i/>
          <w:spacing w:val="-3"/>
          <w:sz w:val="20"/>
        </w:rPr>
        <w:t> </w:t>
      </w:r>
      <w:r>
        <w:rPr>
          <w:sz w:val="20"/>
        </w:rPr>
        <w:t>bv.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[auteur],</w:t>
      </w:r>
      <w:r>
        <w:rPr>
          <w:spacing w:val="-4"/>
          <w:sz w:val="20"/>
        </w:rPr>
        <w:t> </w:t>
      </w:r>
      <w:r>
        <w:rPr>
          <w:sz w:val="20"/>
        </w:rPr>
        <w:t>in</w:t>
      </w:r>
      <w:r>
        <w:rPr>
          <w:spacing w:val="-4"/>
          <w:sz w:val="20"/>
        </w:rPr>
        <w:t> </w:t>
      </w:r>
      <w:r>
        <w:rPr>
          <w:sz w:val="20"/>
        </w:rPr>
        <w:t>licentie</w:t>
      </w:r>
      <w:r>
        <w:rPr>
          <w:spacing w:val="-4"/>
          <w:sz w:val="20"/>
        </w:rPr>
        <w:t> </w:t>
      </w:r>
      <w:r>
        <w:rPr>
          <w:sz w:val="20"/>
        </w:rPr>
        <w:t>verkregen</w:t>
      </w:r>
      <w:r>
        <w:rPr>
          <w:spacing w:val="-4"/>
          <w:sz w:val="20"/>
        </w:rPr>
        <w:t> </w:t>
      </w:r>
      <w:r>
        <w:rPr>
          <w:sz w:val="20"/>
        </w:rPr>
        <w:t>uit</w:t>
      </w:r>
      <w:r>
        <w:rPr>
          <w:spacing w:val="-4"/>
          <w:sz w:val="20"/>
        </w:rPr>
        <w:t> </w:t>
      </w:r>
      <w:r>
        <w:rPr>
          <w:sz w:val="20"/>
        </w:rPr>
        <w:t>hoofde</w:t>
      </w:r>
      <w:r>
        <w:rPr>
          <w:spacing w:val="-4"/>
          <w:sz w:val="20"/>
        </w:rPr>
        <w:t> </w:t>
      </w:r>
      <w:r>
        <w:rPr>
          <w:sz w:val="20"/>
        </w:rPr>
        <w:t>van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4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link naar de licentie];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both"/>
        <w:rPr>
          <w:sz w:val="20"/>
        </w:rPr>
      </w:pPr>
      <w:r>
        <w:rPr>
          <w:sz w:val="20"/>
        </w:rPr>
        <w:t>[illustratie/foto/enz.],</w:t>
      </w:r>
      <w:r>
        <w:rPr>
          <w:spacing w:val="-7"/>
          <w:sz w:val="20"/>
        </w:rPr>
        <w:t> </w:t>
      </w:r>
      <w:r>
        <w:rPr>
          <w:sz w:val="20"/>
        </w:rPr>
        <w:t>blz.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6"/>
          <w:sz w:val="20"/>
        </w:rPr>
        <w:t> </w:t>
      </w:r>
      <w:r>
        <w:rPr>
          <w:sz w:val="20"/>
        </w:rPr>
        <w:t>[naam</w:t>
      </w:r>
      <w:r>
        <w:rPr>
          <w:spacing w:val="-6"/>
          <w:sz w:val="20"/>
        </w:rPr>
        <w:t> </w:t>
      </w:r>
      <w:r>
        <w:rPr>
          <w:sz w:val="20"/>
        </w:rPr>
        <w:t>van</w:t>
      </w:r>
      <w:r>
        <w:rPr>
          <w:spacing w:val="-6"/>
          <w:sz w:val="20"/>
        </w:rPr>
        <w:t> </w:t>
      </w:r>
      <w:r>
        <w:rPr>
          <w:sz w:val="20"/>
        </w:rPr>
        <w:t>de</w:t>
      </w:r>
      <w:r>
        <w:rPr>
          <w:spacing w:val="-6"/>
          <w:sz w:val="20"/>
        </w:rPr>
        <w:t> </w:t>
      </w:r>
      <w:r>
        <w:rPr>
          <w:sz w:val="20"/>
        </w:rPr>
        <w:t>kunstenaar],</w:t>
      </w:r>
      <w:r>
        <w:rPr>
          <w:spacing w:val="-6"/>
          <w:sz w:val="20"/>
        </w:rPr>
        <w:t> </w:t>
      </w:r>
      <w:r>
        <w:rPr>
          <w:sz w:val="20"/>
        </w:rPr>
        <w:t>[jaar],</w:t>
      </w:r>
      <w:r>
        <w:rPr>
          <w:spacing w:val="-6"/>
          <w:sz w:val="20"/>
        </w:rPr>
        <w:t> </w:t>
      </w:r>
      <w:r>
        <w:rPr>
          <w:sz w:val="20"/>
        </w:rPr>
        <w:t>alle</w:t>
      </w:r>
      <w:r>
        <w:rPr>
          <w:spacing w:val="-6"/>
          <w:sz w:val="20"/>
        </w:rPr>
        <w:t> </w:t>
      </w:r>
      <w:r>
        <w:rPr>
          <w:sz w:val="20"/>
        </w:rPr>
        <w:t>rechten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voorbehouden.</w:t>
      </w:r>
    </w:p>
    <w:p>
      <w:pPr>
        <w:pStyle w:val="BodyText"/>
        <w:spacing w:before="80"/>
        <w:ind w:left="0"/>
      </w:pPr>
    </w:p>
    <w:p>
      <w:pPr>
        <w:pStyle w:val="BodyText"/>
        <w:jc w:val="both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293"/>
        <w:jc w:val="both"/>
      </w:pPr>
      <w:r>
        <w:rPr/>
        <w:t>Voor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gebruik</w:t>
      </w:r>
      <w:r>
        <w:rPr>
          <w:spacing w:val="-3"/>
        </w:rPr>
        <w:t> </w:t>
      </w:r>
      <w:r>
        <w:rPr/>
        <w:t>of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reproductie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onderdelen</w:t>
      </w:r>
      <w:r>
        <w:rPr>
          <w:spacing w:val="-3"/>
        </w:rPr>
        <w:t> </w:t>
      </w:r>
      <w:r>
        <w:rPr/>
        <w:t>die</w:t>
      </w:r>
      <w:r>
        <w:rPr>
          <w:spacing w:val="-3"/>
        </w:rPr>
        <w:t> </w:t>
      </w:r>
      <w:r>
        <w:rPr/>
        <w:t>niet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eigendom</w:t>
      </w:r>
      <w:r>
        <w:rPr>
          <w:spacing w:val="-3"/>
        </w:rPr>
        <w:t> </w:t>
      </w:r>
      <w:r>
        <w:rPr/>
        <w:t>zijn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Europese</w:t>
      </w:r>
      <w:r>
        <w:rPr>
          <w:spacing w:val="-3"/>
        </w:rPr>
        <w:t> </w:t>
      </w:r>
      <w:r>
        <w:rPr/>
        <w:t>Unie,</w:t>
      </w:r>
      <w:r>
        <w:rPr>
          <w:spacing w:val="-3"/>
        </w:rPr>
        <w:t> </w:t>
      </w:r>
      <w:r>
        <w:rPr/>
        <w:t>kan</w:t>
      </w:r>
      <w:r>
        <w:rPr>
          <w:spacing w:val="-3"/>
        </w:rPr>
        <w:t> </w:t>
      </w:r>
      <w:r>
        <w:rPr/>
        <w:t>het</w:t>
      </w:r>
      <w:r>
        <w:rPr>
          <w:spacing w:val="-3"/>
        </w:rPr>
        <w:t> </w:t>
      </w:r>
      <w:r>
        <w:rPr/>
        <w:t>nodig zijn rechtstreeks om toestemming van de respectieve houders van het recht te verzoeken.</w:t>
      </w:r>
    </w:p>
    <w:p>
      <w:pPr>
        <w:pStyle w:val="BodyText"/>
        <w:spacing w:before="128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26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241867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044718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0" w:firstLine="0"/>
        <w:jc w:val="left"/>
        <w:rPr>
          <w:sz w:val="18"/>
        </w:rPr>
      </w:pPr>
      <w:r>
        <w:rPr>
          <w:sz w:val="18"/>
        </w:rPr>
        <w:t>Hergebruik</w:t>
      </w:r>
      <w:r>
        <w:rPr>
          <w:spacing w:val="-1"/>
          <w:sz w:val="18"/>
        </w:rPr>
        <w:t> </w:t>
      </w:r>
      <w:r>
        <w:rPr>
          <w:sz w:val="18"/>
        </w:rPr>
        <w:t>toegestaan,</w:t>
      </w:r>
      <w:r>
        <w:rPr>
          <w:spacing w:val="-1"/>
          <w:sz w:val="18"/>
        </w:rPr>
        <w:t> </w:t>
      </w:r>
      <w:r>
        <w:rPr>
          <w:sz w:val="18"/>
        </w:rPr>
        <w:t>mits</w:t>
      </w:r>
      <w:r>
        <w:rPr>
          <w:spacing w:val="-1"/>
          <w:sz w:val="18"/>
        </w:rPr>
        <w:t> </w:t>
      </w:r>
      <w:r>
        <w:rPr>
          <w:sz w:val="18"/>
        </w:rPr>
        <w:t>de</w:t>
      </w:r>
      <w:r>
        <w:rPr>
          <w:spacing w:val="-1"/>
          <w:sz w:val="18"/>
        </w:rPr>
        <w:t> </w:t>
      </w:r>
      <w:r>
        <w:rPr>
          <w:sz w:val="18"/>
        </w:rPr>
        <w:t>bron</w:t>
      </w:r>
      <w:r>
        <w:rPr>
          <w:spacing w:val="-1"/>
          <w:sz w:val="18"/>
        </w:rPr>
        <w:t> </w:t>
      </w:r>
      <w:r>
        <w:rPr>
          <w:sz w:val="18"/>
        </w:rPr>
        <w:t>wordt</w:t>
      </w:r>
      <w:r>
        <w:rPr>
          <w:spacing w:val="-1"/>
          <w:sz w:val="18"/>
        </w:rPr>
        <w:t> </w:t>
      </w:r>
      <w:r>
        <w:rPr>
          <w:sz w:val="18"/>
        </w:rPr>
        <w:t>vermeld</w:t>
      </w:r>
      <w:r>
        <w:rPr>
          <w:spacing w:val="-1"/>
          <w:sz w:val="18"/>
        </w:rPr>
        <w:t> </w:t>
      </w:r>
      <w:r>
        <w:rPr>
          <w:sz w:val="18"/>
        </w:rPr>
        <w:t>en</w:t>
      </w:r>
      <w:r>
        <w:rPr>
          <w:spacing w:val="-1"/>
          <w:sz w:val="18"/>
        </w:rPr>
        <w:t> </w:t>
      </w:r>
      <w:r>
        <w:rPr>
          <w:sz w:val="18"/>
        </w:rPr>
        <w:t>de</w:t>
      </w:r>
      <w:r>
        <w:rPr>
          <w:spacing w:val="-1"/>
          <w:sz w:val="18"/>
        </w:rPr>
        <w:t> </w:t>
      </w:r>
      <w:r>
        <w:rPr>
          <w:sz w:val="18"/>
        </w:rPr>
        <w:t>oorspronkelijke</w:t>
      </w:r>
      <w:r>
        <w:rPr>
          <w:spacing w:val="-1"/>
          <w:sz w:val="18"/>
        </w:rPr>
        <w:t> </w:t>
      </w:r>
      <w:r>
        <w:rPr>
          <w:sz w:val="18"/>
        </w:rPr>
        <w:t>betekenis</w:t>
      </w:r>
      <w:r>
        <w:rPr>
          <w:spacing w:val="-1"/>
          <w:sz w:val="18"/>
        </w:rPr>
        <w:t> </w:t>
      </w:r>
      <w:r>
        <w:rPr>
          <w:sz w:val="18"/>
        </w:rPr>
        <w:t>of</w:t>
      </w:r>
      <w:r>
        <w:rPr>
          <w:spacing w:val="-1"/>
          <w:sz w:val="18"/>
        </w:rPr>
        <w:t> </w:t>
      </w:r>
      <w:r>
        <w:rPr>
          <w:sz w:val="18"/>
        </w:rPr>
        <w:t>boodschap</w:t>
      </w:r>
      <w:r>
        <w:rPr>
          <w:spacing w:val="-1"/>
          <w:sz w:val="18"/>
        </w:rPr>
        <w:t> </w:t>
      </w:r>
      <w:r>
        <w:rPr>
          <w:sz w:val="18"/>
        </w:rPr>
        <w:t>van</w:t>
      </w:r>
      <w:r>
        <w:rPr>
          <w:spacing w:val="-1"/>
          <w:sz w:val="18"/>
        </w:rPr>
        <w:t> </w:t>
      </w:r>
      <w:r>
        <w:rPr>
          <w:sz w:val="18"/>
        </w:rPr>
        <w:t>dit</w:t>
      </w:r>
      <w:r>
        <w:rPr>
          <w:spacing w:val="-1"/>
          <w:sz w:val="18"/>
        </w:rPr>
        <w:t> </w:t>
      </w:r>
      <w:r>
        <w:rPr>
          <w:sz w:val="18"/>
        </w:rPr>
        <w:t>document</w:t>
      </w:r>
      <w:r>
        <w:rPr>
          <w:spacing w:val="-1"/>
          <w:sz w:val="18"/>
        </w:rPr>
        <w:t> </w:t>
      </w:r>
      <w:r>
        <w:rPr>
          <w:sz w:val="18"/>
        </w:rPr>
        <w:t>niet wordt</w:t>
      </w:r>
      <w:r>
        <w:rPr>
          <w:spacing w:val="-3"/>
          <w:sz w:val="18"/>
        </w:rPr>
        <w:t> </w:t>
      </w:r>
      <w:r>
        <w:rPr>
          <w:sz w:val="18"/>
        </w:rPr>
        <w:t>gewijzigd.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Europese</w:t>
      </w:r>
      <w:r>
        <w:rPr>
          <w:spacing w:val="-3"/>
          <w:sz w:val="18"/>
        </w:rPr>
        <w:t> </w:t>
      </w:r>
      <w:r>
        <w:rPr>
          <w:sz w:val="18"/>
        </w:rPr>
        <w:t>Commissie</w:t>
      </w:r>
      <w:r>
        <w:rPr>
          <w:spacing w:val="-3"/>
          <w:sz w:val="18"/>
        </w:rPr>
        <w:t> </w:t>
      </w:r>
      <w:r>
        <w:rPr>
          <w:sz w:val="18"/>
        </w:rPr>
        <w:t>is</w:t>
      </w:r>
      <w:r>
        <w:rPr>
          <w:spacing w:val="-3"/>
          <w:sz w:val="18"/>
        </w:rPr>
        <w:t> </w:t>
      </w:r>
      <w:r>
        <w:rPr>
          <w:sz w:val="18"/>
        </w:rPr>
        <w:t>niet</w:t>
      </w:r>
      <w:r>
        <w:rPr>
          <w:spacing w:val="-3"/>
          <w:sz w:val="18"/>
        </w:rPr>
        <w:t> </w:t>
      </w:r>
      <w:r>
        <w:rPr>
          <w:sz w:val="18"/>
        </w:rPr>
        <w:t>aansprakelijk</w:t>
      </w:r>
      <w:r>
        <w:rPr>
          <w:spacing w:val="-3"/>
          <w:sz w:val="18"/>
        </w:rPr>
        <w:t> </w:t>
      </w:r>
      <w:r>
        <w:rPr>
          <w:sz w:val="18"/>
        </w:rPr>
        <w:t>voor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gevolgen</w:t>
      </w:r>
      <w:r>
        <w:rPr>
          <w:spacing w:val="-3"/>
          <w:sz w:val="18"/>
        </w:rPr>
        <w:t> </w:t>
      </w:r>
      <w:r>
        <w:rPr>
          <w:sz w:val="18"/>
        </w:rPr>
        <w:t>die</w:t>
      </w:r>
      <w:r>
        <w:rPr>
          <w:spacing w:val="-3"/>
          <w:sz w:val="18"/>
        </w:rPr>
        <w:t> </w:t>
      </w:r>
      <w:r>
        <w:rPr>
          <w:sz w:val="18"/>
        </w:rPr>
        <w:t>voortvloeien</w:t>
      </w:r>
      <w:r>
        <w:rPr>
          <w:spacing w:val="-3"/>
          <w:sz w:val="18"/>
        </w:rPr>
        <w:t> </w:t>
      </w:r>
      <w:r>
        <w:rPr>
          <w:sz w:val="18"/>
        </w:rPr>
        <w:t>uit</w:t>
      </w:r>
      <w:r>
        <w:rPr>
          <w:spacing w:val="-3"/>
          <w:sz w:val="18"/>
        </w:rPr>
        <w:t> </w:t>
      </w:r>
      <w:r>
        <w:rPr>
          <w:sz w:val="18"/>
        </w:rPr>
        <w:t>hergebruik</w:t>
      </w:r>
      <w:r>
        <w:rPr>
          <w:spacing w:val="-3"/>
          <w:sz w:val="18"/>
        </w:rPr>
        <w:t> </w:t>
      </w:r>
      <w:r>
        <w:rPr>
          <w:sz w:val="18"/>
        </w:rPr>
        <w:t>van</w:t>
      </w:r>
      <w:r>
        <w:rPr>
          <w:spacing w:val="-3"/>
          <w:sz w:val="18"/>
        </w:rPr>
        <w:t> </w:t>
      </w:r>
      <w:r>
        <w:rPr>
          <w:sz w:val="18"/>
        </w:rPr>
        <w:t>deze publicatie. Het beleid ten aanzien van hergebruik van documenten van de Europese Commissie is vastgelegd in Besluit 2011/833/EU van de Commissie van 12 december 2011 betreffende het hergebruik van documenten van de Commissie (PB L 330 van 14.12.2011, blz.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Hoe</w:t>
      </w:r>
      <w:r>
        <w:rPr>
          <w:spacing w:val="-4"/>
        </w:rPr>
        <w:t> </w:t>
      </w:r>
      <w:r>
        <w:rPr/>
        <w:t>neemt</w:t>
      </w:r>
      <w:r>
        <w:rPr>
          <w:spacing w:val="-2"/>
        </w:rPr>
        <w:t> </w:t>
      </w:r>
      <w:r>
        <w:rPr/>
        <w:t>u</w:t>
      </w:r>
      <w:r>
        <w:rPr>
          <w:spacing w:val="-1"/>
        </w:rPr>
        <w:t> </w:t>
      </w:r>
      <w:r>
        <w:rPr/>
        <w:t>contact</w:t>
      </w:r>
      <w:r>
        <w:rPr>
          <w:spacing w:val="-2"/>
        </w:rPr>
        <w:t> </w:t>
      </w:r>
      <w:r>
        <w:rPr/>
        <w:t>op</w:t>
      </w:r>
      <w:r>
        <w:rPr>
          <w:spacing w:val="-1"/>
        </w:rPr>
        <w:t> </w:t>
      </w:r>
      <w:r>
        <w:rPr/>
        <w:t>met</w:t>
      </w:r>
      <w:r>
        <w:rPr>
          <w:spacing w:val="-2"/>
        </w:rPr>
        <w:t> </w:t>
      </w:r>
      <w:r>
        <w:rPr/>
        <w:t>de</w:t>
      </w:r>
      <w:r>
        <w:rPr>
          <w:spacing w:val="-1"/>
        </w:rPr>
        <w:t> </w:t>
      </w:r>
      <w:r>
        <w:rPr>
          <w:spacing w:val="-5"/>
        </w:rPr>
        <w:t>EU?</w:t>
      </w:r>
    </w:p>
    <w:p>
      <w:pPr>
        <w:pStyle w:val="Heading2"/>
        <w:spacing w:before="154"/>
      </w:pPr>
      <w:r>
        <w:rPr/>
        <w:t>Kom</w:t>
      </w:r>
      <w:r>
        <w:rPr>
          <w:spacing w:val="-5"/>
        </w:rPr>
        <w:t> </w:t>
      </w:r>
      <w:r>
        <w:rPr>
          <w:spacing w:val="-2"/>
        </w:rPr>
        <w:t>langs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Er</w:t>
      </w:r>
      <w:r>
        <w:rPr>
          <w:spacing w:val="-3"/>
          <w:sz w:val="22"/>
        </w:rPr>
        <w:t> </w:t>
      </w:r>
      <w:r>
        <w:rPr>
          <w:sz w:val="22"/>
        </w:rPr>
        <w:t>zijn</w:t>
      </w:r>
      <w:r>
        <w:rPr>
          <w:spacing w:val="-3"/>
          <w:sz w:val="22"/>
        </w:rPr>
        <w:t> </w:t>
      </w:r>
      <w:r>
        <w:rPr>
          <w:sz w:val="22"/>
        </w:rPr>
        <w:t>honderden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Direct-centra</w:t>
      </w:r>
      <w:r>
        <w:rPr>
          <w:spacing w:val="-3"/>
          <w:sz w:val="22"/>
        </w:rPr>
        <w:t> </w:t>
      </w:r>
      <w:r>
        <w:rPr>
          <w:sz w:val="22"/>
        </w:rPr>
        <w:t>overal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Europese</w:t>
      </w:r>
      <w:r>
        <w:rPr>
          <w:spacing w:val="-3"/>
          <w:sz w:val="22"/>
        </w:rPr>
        <w:t> </w:t>
      </w:r>
      <w:r>
        <w:rPr>
          <w:sz w:val="22"/>
        </w:rPr>
        <w:t>Unie.</w:t>
      </w:r>
      <w:r>
        <w:rPr>
          <w:spacing w:val="-3"/>
          <w:sz w:val="22"/>
        </w:rPr>
        <w:t> </w:t>
      </w:r>
      <w:r>
        <w:rPr>
          <w:sz w:val="22"/>
        </w:rPr>
        <w:t>U</w:t>
      </w:r>
      <w:r>
        <w:rPr>
          <w:spacing w:val="-3"/>
          <w:sz w:val="22"/>
        </w:rPr>
        <w:t> </w:t>
      </w:r>
      <w:r>
        <w:rPr>
          <w:sz w:val="22"/>
        </w:rPr>
        <w:t>vindt</w:t>
      </w:r>
      <w:r>
        <w:rPr>
          <w:spacing w:val="-3"/>
          <w:sz w:val="22"/>
        </w:rPr>
        <w:t> </w:t>
      </w:r>
      <w:r>
        <w:rPr>
          <w:sz w:val="22"/>
        </w:rPr>
        <w:t>het</w:t>
      </w:r>
      <w:r>
        <w:rPr>
          <w:spacing w:val="-3"/>
          <w:sz w:val="22"/>
        </w:rPr>
        <w:t> </w:t>
      </w:r>
      <w:r>
        <w:rPr>
          <w:sz w:val="22"/>
        </w:rPr>
        <w:t>adres</w:t>
      </w:r>
      <w:r>
        <w:rPr>
          <w:spacing w:val="-3"/>
          <w:sz w:val="22"/>
        </w:rPr>
        <w:t> </w:t>
      </w:r>
      <w:r>
        <w:rPr>
          <w:sz w:val="22"/>
        </w:rPr>
        <w:t>van</w:t>
      </w:r>
      <w:r>
        <w:rPr>
          <w:spacing w:val="-3"/>
          <w:sz w:val="22"/>
        </w:rPr>
        <w:t> </w:t>
      </w:r>
      <w:r>
        <w:rPr>
          <w:sz w:val="22"/>
        </w:rPr>
        <w:t>het dichtstbijzijnde centrum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european-union.europa.eu/contact-eu/meet-us_nl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3"/>
      </w:pPr>
      <w:r>
        <w:rPr/>
        <w:t>Bel</w:t>
      </w:r>
      <w:r>
        <w:rPr>
          <w:spacing w:val="-2"/>
        </w:rPr>
        <w:t> </w:t>
      </w:r>
      <w:r>
        <w:rPr/>
        <w:t>of</w:t>
      </w:r>
      <w:r>
        <w:rPr>
          <w:spacing w:val="-2"/>
        </w:rPr>
        <w:t> schrijf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een</w:t>
      </w:r>
      <w:r>
        <w:rPr>
          <w:spacing w:val="-3"/>
          <w:sz w:val="22"/>
        </w:rPr>
        <w:t> </w:t>
      </w:r>
      <w:r>
        <w:rPr>
          <w:sz w:val="22"/>
        </w:rPr>
        <w:t>dienst</w:t>
      </w:r>
      <w:r>
        <w:rPr>
          <w:spacing w:val="-3"/>
          <w:sz w:val="22"/>
        </w:rPr>
        <w:t> </w:t>
      </w:r>
      <w:r>
        <w:rPr>
          <w:sz w:val="22"/>
        </w:rPr>
        <w:t>die</w:t>
      </w:r>
      <w:r>
        <w:rPr>
          <w:spacing w:val="-3"/>
          <w:sz w:val="22"/>
        </w:rPr>
        <w:t> </w:t>
      </w:r>
      <w:r>
        <w:rPr>
          <w:sz w:val="22"/>
        </w:rPr>
        <w:t>uw</w:t>
      </w:r>
      <w:r>
        <w:rPr>
          <w:spacing w:val="-3"/>
          <w:sz w:val="22"/>
        </w:rPr>
        <w:t> </w:t>
      </w:r>
      <w:r>
        <w:rPr>
          <w:sz w:val="22"/>
        </w:rPr>
        <w:t>vragen</w:t>
      </w:r>
      <w:r>
        <w:rPr>
          <w:spacing w:val="-3"/>
          <w:sz w:val="22"/>
        </w:rPr>
        <w:t> </w:t>
      </w:r>
      <w:r>
        <w:rPr>
          <w:sz w:val="22"/>
        </w:rPr>
        <w:t>over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Europese</w:t>
      </w:r>
      <w:r>
        <w:rPr>
          <w:spacing w:val="-3"/>
          <w:sz w:val="22"/>
        </w:rPr>
        <w:t> </w:t>
      </w:r>
      <w:r>
        <w:rPr>
          <w:sz w:val="22"/>
        </w:rPr>
        <w:t>Unie</w:t>
      </w:r>
      <w:r>
        <w:rPr>
          <w:spacing w:val="-3"/>
          <w:sz w:val="22"/>
        </w:rPr>
        <w:t> </w:t>
      </w:r>
      <w:r>
        <w:rPr>
          <w:sz w:val="22"/>
        </w:rPr>
        <w:t>beantwoordt.</w:t>
      </w:r>
      <w:r>
        <w:rPr>
          <w:spacing w:val="-3"/>
          <w:sz w:val="22"/>
        </w:rPr>
        <w:t> </w:t>
      </w:r>
      <w:r>
        <w:rPr>
          <w:sz w:val="22"/>
        </w:rPr>
        <w:t>U</w:t>
      </w:r>
      <w:r>
        <w:rPr>
          <w:spacing w:val="-3"/>
          <w:sz w:val="22"/>
        </w:rPr>
        <w:t> </w:t>
      </w:r>
      <w:r>
        <w:rPr>
          <w:sz w:val="22"/>
        </w:rPr>
        <w:t>kunt</w:t>
      </w:r>
      <w:r>
        <w:rPr>
          <w:spacing w:val="-3"/>
          <w:sz w:val="22"/>
        </w:rPr>
        <w:t> </w:t>
      </w:r>
      <w:r>
        <w:rPr>
          <w:sz w:val="22"/>
        </w:rPr>
        <w:t>met</w:t>
      </w:r>
      <w:r>
        <w:rPr>
          <w:spacing w:val="-3"/>
          <w:sz w:val="22"/>
        </w:rPr>
        <w:t> </w:t>
      </w:r>
      <w:r>
        <w:rPr>
          <w:sz w:val="22"/>
        </w:rPr>
        <w:t>deze</w:t>
      </w:r>
      <w:r>
        <w:rPr>
          <w:spacing w:val="-3"/>
          <w:sz w:val="22"/>
        </w:rPr>
        <w:t> </w:t>
      </w:r>
      <w:r>
        <w:rPr>
          <w:sz w:val="22"/>
        </w:rPr>
        <w:t>dienst contact opnemen door: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4" w:after="0"/>
        <w:ind w:left="475" w:right="595" w:hanging="400"/>
        <w:jc w:val="left"/>
        <w:rPr>
          <w:sz w:val="22"/>
        </w:rPr>
      </w:pPr>
      <w:r>
        <w:rPr>
          <w:sz w:val="22"/>
        </w:rPr>
        <w:t>te</w:t>
      </w:r>
      <w:r>
        <w:rPr>
          <w:spacing w:val="-4"/>
          <w:sz w:val="22"/>
        </w:rPr>
        <w:t> </w:t>
      </w:r>
      <w:r>
        <w:rPr>
          <w:sz w:val="22"/>
        </w:rPr>
        <w:t>bellen</w:t>
      </w:r>
      <w:r>
        <w:rPr>
          <w:spacing w:val="-4"/>
          <w:sz w:val="22"/>
        </w:rPr>
        <w:t> </w:t>
      </w:r>
      <w:r>
        <w:rPr>
          <w:sz w:val="22"/>
        </w:rPr>
        <w:t>naar</w:t>
      </w:r>
      <w:r>
        <w:rPr>
          <w:spacing w:val="-4"/>
          <w:sz w:val="22"/>
        </w:rPr>
        <w:t> </w:t>
      </w:r>
      <w:r>
        <w:rPr>
          <w:sz w:val="22"/>
        </w:rPr>
        <w:t>het</w:t>
      </w:r>
      <w:r>
        <w:rPr>
          <w:spacing w:val="-4"/>
          <w:sz w:val="22"/>
        </w:rPr>
        <w:t> </w:t>
      </w:r>
      <w:r>
        <w:rPr>
          <w:sz w:val="22"/>
        </w:rPr>
        <w:t>gratis</w:t>
      </w:r>
      <w:r>
        <w:rPr>
          <w:spacing w:val="-4"/>
          <w:sz w:val="22"/>
        </w:rPr>
        <w:t> </w:t>
      </w:r>
      <w:r>
        <w:rPr>
          <w:sz w:val="22"/>
        </w:rPr>
        <w:t>nummer: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(bepaalde</w:t>
      </w:r>
      <w:r>
        <w:rPr>
          <w:spacing w:val="-4"/>
          <w:sz w:val="22"/>
        </w:rPr>
        <w:t> </w:t>
      </w:r>
      <w:r>
        <w:rPr>
          <w:sz w:val="22"/>
        </w:rPr>
        <w:t>telecomaanbieders</w:t>
      </w:r>
      <w:r>
        <w:rPr>
          <w:spacing w:val="-4"/>
          <w:sz w:val="22"/>
        </w:rPr>
        <w:t> </w:t>
      </w:r>
      <w:r>
        <w:rPr>
          <w:sz w:val="22"/>
        </w:rPr>
        <w:t>kunnen</w:t>
      </w:r>
      <w:r>
        <w:rPr>
          <w:spacing w:val="-4"/>
          <w:sz w:val="22"/>
        </w:rPr>
        <w:t> </w:t>
      </w:r>
      <w:r>
        <w:rPr>
          <w:sz w:val="22"/>
        </w:rPr>
        <w:t>wel kosten in rekening brengen);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te</w:t>
      </w:r>
      <w:r>
        <w:rPr>
          <w:spacing w:val="-7"/>
          <w:sz w:val="22"/>
        </w:rPr>
        <w:t> </w:t>
      </w:r>
      <w:r>
        <w:rPr>
          <w:sz w:val="22"/>
        </w:rPr>
        <w:t>bellen</w:t>
      </w:r>
      <w:r>
        <w:rPr>
          <w:spacing w:val="-5"/>
          <w:sz w:val="22"/>
        </w:rPr>
        <w:t> </w:t>
      </w:r>
      <w:r>
        <w:rPr>
          <w:sz w:val="22"/>
        </w:rPr>
        <w:t>naar</w:t>
      </w:r>
      <w:r>
        <w:rPr>
          <w:spacing w:val="-4"/>
          <w:sz w:val="22"/>
        </w:rPr>
        <w:t> </w:t>
      </w:r>
      <w:r>
        <w:rPr>
          <w:sz w:val="22"/>
        </w:rPr>
        <w:t>het</w:t>
      </w:r>
      <w:r>
        <w:rPr>
          <w:spacing w:val="-5"/>
          <w:sz w:val="22"/>
        </w:rPr>
        <w:t> </w:t>
      </w:r>
      <w:r>
        <w:rPr>
          <w:sz w:val="22"/>
        </w:rPr>
        <w:t>gewone</w:t>
      </w:r>
      <w:r>
        <w:rPr>
          <w:spacing w:val="-5"/>
          <w:sz w:val="22"/>
        </w:rPr>
        <w:t> </w:t>
      </w:r>
      <w:r>
        <w:rPr>
          <w:sz w:val="22"/>
        </w:rPr>
        <w:t>nummer:</w:t>
      </w:r>
      <w:r>
        <w:rPr>
          <w:spacing w:val="-4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z w:val="22"/>
        </w:rPr>
        <w:t>22999696,</w:t>
      </w:r>
      <w:r>
        <w:rPr>
          <w:spacing w:val="-4"/>
          <w:sz w:val="22"/>
        </w:rPr>
        <w:t> </w:t>
      </w:r>
      <w:r>
        <w:rPr>
          <w:spacing w:val="-5"/>
          <w:sz w:val="22"/>
        </w:rPr>
        <w:t>of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het</w:t>
      </w:r>
      <w:r>
        <w:rPr>
          <w:spacing w:val="-12"/>
          <w:sz w:val="22"/>
        </w:rPr>
        <w:t> </w:t>
      </w:r>
      <w:r>
        <w:rPr>
          <w:sz w:val="22"/>
        </w:rPr>
        <w:t>onlineformulier</w:t>
      </w:r>
      <w:r>
        <w:rPr>
          <w:spacing w:val="-11"/>
          <w:sz w:val="22"/>
        </w:rPr>
        <w:t> </w:t>
      </w:r>
      <w:r>
        <w:rPr>
          <w:sz w:val="22"/>
        </w:rPr>
        <w:t>in</w:t>
      </w:r>
      <w:r>
        <w:rPr>
          <w:spacing w:val="-12"/>
          <w:sz w:val="22"/>
        </w:rPr>
        <w:t> </w:t>
      </w:r>
      <w:r>
        <w:rPr>
          <w:sz w:val="22"/>
        </w:rPr>
        <w:t>te</w:t>
      </w:r>
      <w:r>
        <w:rPr>
          <w:spacing w:val="-11"/>
          <w:sz w:val="22"/>
        </w:rPr>
        <w:t> </w:t>
      </w:r>
      <w:r>
        <w:rPr>
          <w:sz w:val="22"/>
        </w:rPr>
        <w:t>vullen:</w:t>
      </w:r>
      <w:r>
        <w:rPr>
          <w:spacing w:val="-10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us_nl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Waar</w:t>
      </w:r>
      <w:r>
        <w:rPr>
          <w:spacing w:val="-8"/>
        </w:rPr>
        <w:t> </w:t>
      </w:r>
      <w:r>
        <w:rPr/>
        <w:t>vindt</w:t>
      </w:r>
      <w:r>
        <w:rPr>
          <w:spacing w:val="-5"/>
        </w:rPr>
        <w:t> </w:t>
      </w:r>
      <w:r>
        <w:rPr/>
        <w:t>u</w:t>
      </w:r>
      <w:r>
        <w:rPr>
          <w:spacing w:val="-6"/>
        </w:rPr>
        <w:t> </w:t>
      </w:r>
      <w:r>
        <w:rPr/>
        <w:t>informatie</w:t>
      </w:r>
      <w:r>
        <w:rPr>
          <w:spacing w:val="-5"/>
        </w:rPr>
        <w:t> </w:t>
      </w:r>
      <w:r>
        <w:rPr/>
        <w:t>over</w:t>
      </w:r>
      <w:r>
        <w:rPr>
          <w:spacing w:val="-6"/>
        </w:rPr>
        <w:t> </w:t>
      </w:r>
      <w:r>
        <w:rPr/>
        <w:t>de</w:t>
      </w:r>
      <w:r>
        <w:rPr>
          <w:spacing w:val="-5"/>
        </w:rPr>
        <w:t> EU?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388" w:firstLine="0"/>
        <w:jc w:val="left"/>
        <w:rPr>
          <w:sz w:val="22"/>
        </w:rPr>
      </w:pPr>
      <w:r>
        <w:rPr>
          <w:sz w:val="22"/>
        </w:rPr>
        <w:t>Informatie</w:t>
      </w:r>
      <w:r>
        <w:rPr>
          <w:spacing w:val="-3"/>
          <w:sz w:val="22"/>
        </w:rPr>
        <w:t> </w:t>
      </w:r>
      <w:r>
        <w:rPr>
          <w:sz w:val="22"/>
        </w:rPr>
        <w:t>over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Europese</w:t>
      </w:r>
      <w:r>
        <w:rPr>
          <w:spacing w:val="-3"/>
          <w:sz w:val="22"/>
        </w:rPr>
        <w:t> </w:t>
      </w:r>
      <w:r>
        <w:rPr>
          <w:sz w:val="22"/>
        </w:rPr>
        <w:t>Unie</w:t>
      </w:r>
      <w:r>
        <w:rPr>
          <w:spacing w:val="-3"/>
          <w:sz w:val="22"/>
        </w:rPr>
        <w:t> </w:t>
      </w:r>
      <w:r>
        <w:rPr>
          <w:sz w:val="22"/>
        </w:rPr>
        <w:t>in</w:t>
      </w:r>
      <w:r>
        <w:rPr>
          <w:spacing w:val="-3"/>
          <w:sz w:val="22"/>
        </w:rPr>
        <w:t> </w:t>
      </w:r>
      <w:r>
        <w:rPr>
          <w:sz w:val="22"/>
        </w:rPr>
        <w:t>alle</w:t>
      </w:r>
      <w:r>
        <w:rPr>
          <w:spacing w:val="-3"/>
          <w:sz w:val="22"/>
        </w:rPr>
        <w:t> </w:t>
      </w:r>
      <w:r>
        <w:rPr>
          <w:sz w:val="22"/>
        </w:rPr>
        <w:t>officiële</w:t>
      </w:r>
      <w:r>
        <w:rPr>
          <w:spacing w:val="-3"/>
          <w:sz w:val="22"/>
        </w:rPr>
        <w:t> </w:t>
      </w:r>
      <w:r>
        <w:rPr>
          <w:sz w:val="22"/>
        </w:rPr>
        <w:t>talen</w:t>
      </w:r>
      <w:r>
        <w:rPr>
          <w:spacing w:val="-3"/>
          <w:sz w:val="22"/>
        </w:rPr>
        <w:t> </w:t>
      </w:r>
      <w:r>
        <w:rPr>
          <w:sz w:val="22"/>
        </w:rPr>
        <w:t>van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EU</w:t>
      </w:r>
      <w:r>
        <w:rPr>
          <w:spacing w:val="-3"/>
          <w:sz w:val="22"/>
        </w:rPr>
        <w:t> </w:t>
      </w:r>
      <w:r>
        <w:rPr>
          <w:sz w:val="22"/>
        </w:rPr>
        <w:t>is</w:t>
      </w:r>
      <w:r>
        <w:rPr>
          <w:spacing w:val="-3"/>
          <w:sz w:val="22"/>
        </w:rPr>
        <w:t> </w:t>
      </w:r>
      <w:r>
        <w:rPr>
          <w:sz w:val="22"/>
        </w:rPr>
        <w:t>beschikbaar</w:t>
      </w:r>
      <w:r>
        <w:rPr>
          <w:spacing w:val="-3"/>
          <w:sz w:val="22"/>
        </w:rPr>
        <w:t> </w:t>
      </w:r>
      <w:r>
        <w:rPr>
          <w:sz w:val="22"/>
        </w:rPr>
        <w:t>op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Europa-website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4"/>
      </w:pPr>
      <w:r>
        <w:rPr>
          <w:spacing w:val="-2"/>
        </w:rPr>
        <w:t>EU-publicaties</w:t>
      </w:r>
    </w:p>
    <w:p>
      <w:pPr>
        <w:spacing w:line="285" w:lineRule="auto" w:before="166"/>
        <w:ind w:left="85" w:right="764" w:firstLine="0"/>
        <w:jc w:val="both"/>
        <w:rPr>
          <w:sz w:val="22"/>
        </w:rPr>
      </w:pPr>
      <w:r>
        <w:rPr>
          <w:sz w:val="22"/>
        </w:rPr>
        <w:t>U</w:t>
      </w:r>
      <w:r>
        <w:rPr>
          <w:spacing w:val="-1"/>
          <w:sz w:val="22"/>
        </w:rPr>
        <w:t> </w:t>
      </w:r>
      <w:r>
        <w:rPr>
          <w:sz w:val="22"/>
        </w:rPr>
        <w:t>kunt</w:t>
      </w:r>
      <w:r>
        <w:rPr>
          <w:spacing w:val="-1"/>
          <w:sz w:val="22"/>
        </w:rPr>
        <w:t> </w:t>
      </w:r>
      <w:r>
        <w:rPr>
          <w:sz w:val="22"/>
        </w:rPr>
        <w:t>publicaties</w:t>
      </w:r>
      <w:r>
        <w:rPr>
          <w:spacing w:val="-1"/>
          <w:sz w:val="22"/>
        </w:rPr>
        <w:t> </w:t>
      </w:r>
      <w:r>
        <w:rPr>
          <w:sz w:val="22"/>
        </w:rPr>
        <w:t>van</w:t>
      </w:r>
      <w:r>
        <w:rPr>
          <w:spacing w:val="-1"/>
          <w:sz w:val="22"/>
        </w:rPr>
        <w:t> </w:t>
      </w:r>
      <w:r>
        <w:rPr>
          <w:sz w:val="22"/>
        </w:rPr>
        <w:t>de</w:t>
      </w:r>
      <w:r>
        <w:rPr>
          <w:spacing w:val="-1"/>
          <w:sz w:val="22"/>
        </w:rPr>
        <w:t> </w:t>
      </w:r>
      <w:r>
        <w:rPr>
          <w:sz w:val="22"/>
        </w:rPr>
        <w:t>EU</w:t>
      </w:r>
      <w:r>
        <w:rPr>
          <w:spacing w:val="-1"/>
          <w:sz w:val="22"/>
        </w:rPr>
        <w:t> </w:t>
      </w:r>
      <w:r>
        <w:rPr>
          <w:sz w:val="22"/>
        </w:rPr>
        <w:t>bekijken</w:t>
      </w:r>
      <w:r>
        <w:rPr>
          <w:spacing w:val="-1"/>
          <w:sz w:val="22"/>
        </w:rPr>
        <w:t> </w:t>
      </w:r>
      <w:r>
        <w:rPr>
          <w:sz w:val="22"/>
        </w:rPr>
        <w:t>of</w:t>
      </w:r>
      <w:r>
        <w:rPr>
          <w:spacing w:val="-1"/>
          <w:sz w:val="22"/>
        </w:rPr>
        <w:t> </w:t>
      </w:r>
      <w:r>
        <w:rPr>
          <w:sz w:val="22"/>
        </w:rPr>
        <w:t>bestellen</w:t>
      </w:r>
      <w:r>
        <w:rPr>
          <w:spacing w:val="-1"/>
          <w:sz w:val="22"/>
        </w:rPr>
        <w:t> </w:t>
      </w:r>
      <w:r>
        <w:rPr>
          <w:sz w:val="22"/>
        </w:rPr>
        <w:t>op</w:t>
      </w:r>
      <w:r>
        <w:rPr>
          <w:spacing w:val="-1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op.europa.eu/nl/publications</w:t>
        </w:r>
      </w:hyperlink>
      <w:r>
        <w:rPr>
          <w:sz w:val="22"/>
          <w:u w:val="none"/>
        </w:rPr>
        <w:t>.</w:t>
      </w:r>
      <w:r>
        <w:rPr>
          <w:spacing w:val="-1"/>
          <w:sz w:val="22"/>
          <w:u w:val="none"/>
        </w:rPr>
        <w:t> </w:t>
      </w:r>
      <w:r>
        <w:rPr>
          <w:sz w:val="22"/>
          <w:u w:val="none"/>
        </w:rPr>
        <w:t>Als</w:t>
      </w:r>
      <w:r>
        <w:rPr>
          <w:spacing w:val="-1"/>
          <w:sz w:val="22"/>
          <w:u w:val="none"/>
        </w:rPr>
        <w:t> </w:t>
      </w:r>
      <w:r>
        <w:rPr>
          <w:sz w:val="22"/>
          <w:u w:val="none"/>
        </w:rPr>
        <w:t>u</w:t>
      </w:r>
      <w:r>
        <w:rPr>
          <w:spacing w:val="-1"/>
          <w:sz w:val="22"/>
          <w:u w:val="none"/>
        </w:rPr>
        <w:t> </w:t>
      </w:r>
      <w:r>
        <w:rPr>
          <w:sz w:val="22"/>
          <w:u w:val="none"/>
        </w:rPr>
        <w:t>meerdere exemplaren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van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gratis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publicaties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wenst,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neem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dan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contact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op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met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Europe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Direct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of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uw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plaatselijke documentatiecentrum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eu/meet-us_nl</w:t>
        </w:r>
      </w:hyperlink>
      <w:r>
        <w:rPr>
          <w:sz w:val="22"/>
          <w:u w:val="none"/>
        </w:rPr>
        <w:t>).</w:t>
      </w:r>
    </w:p>
    <w:p>
      <w:pPr>
        <w:pStyle w:val="Heading2"/>
        <w:jc w:val="both"/>
      </w:pPr>
      <w:r>
        <w:rPr/>
        <w:t>EU-wetgeving</w:t>
      </w:r>
      <w:r>
        <w:rPr>
          <w:spacing w:val="-9"/>
        </w:rPr>
        <w:t> </w:t>
      </w:r>
      <w:r>
        <w:rPr/>
        <w:t>en</w:t>
      </w:r>
      <w:r>
        <w:rPr>
          <w:spacing w:val="-8"/>
        </w:rPr>
        <w:t> </w:t>
      </w:r>
      <w:r>
        <w:rPr/>
        <w:t>aanverwante</w:t>
      </w:r>
      <w:r>
        <w:rPr>
          <w:spacing w:val="-8"/>
        </w:rPr>
        <w:t> </w:t>
      </w:r>
      <w:r>
        <w:rPr>
          <w:spacing w:val="-2"/>
        </w:rPr>
        <w:t>documenten</w:t>
      </w:r>
    </w:p>
    <w:p>
      <w:pPr>
        <w:spacing w:line="280" w:lineRule="auto" w:before="167"/>
        <w:ind w:left="85" w:right="388" w:firstLine="0"/>
        <w:jc w:val="left"/>
        <w:rPr>
          <w:sz w:val="22"/>
        </w:rPr>
      </w:pPr>
      <w:r>
        <w:rPr>
          <w:sz w:val="22"/>
        </w:rPr>
        <w:t>Toegang</w:t>
      </w:r>
      <w:r>
        <w:rPr>
          <w:spacing w:val="-6"/>
          <w:sz w:val="22"/>
        </w:rPr>
        <w:t> </w:t>
      </w:r>
      <w:r>
        <w:rPr>
          <w:sz w:val="22"/>
        </w:rPr>
        <w:t>tot</w:t>
      </w:r>
      <w:r>
        <w:rPr>
          <w:spacing w:val="-6"/>
          <w:sz w:val="22"/>
        </w:rPr>
        <w:t> </w:t>
      </w:r>
      <w:r>
        <w:rPr>
          <w:sz w:val="22"/>
        </w:rPr>
        <w:t>juridische</w:t>
      </w:r>
      <w:r>
        <w:rPr>
          <w:spacing w:val="-6"/>
          <w:sz w:val="22"/>
        </w:rPr>
        <w:t> </w:t>
      </w:r>
      <w:r>
        <w:rPr>
          <w:sz w:val="22"/>
        </w:rPr>
        <w:t>informatie</w:t>
      </w:r>
      <w:r>
        <w:rPr>
          <w:spacing w:val="-6"/>
          <w:sz w:val="22"/>
        </w:rPr>
        <w:t> </w:t>
      </w:r>
      <w:r>
        <w:rPr>
          <w:sz w:val="22"/>
        </w:rPr>
        <w:t>van</w:t>
      </w:r>
      <w:r>
        <w:rPr>
          <w:spacing w:val="-6"/>
          <w:sz w:val="22"/>
        </w:rPr>
        <w:t> </w:t>
      </w:r>
      <w:r>
        <w:rPr>
          <w:sz w:val="22"/>
        </w:rPr>
        <w:t>de</w:t>
      </w:r>
      <w:r>
        <w:rPr>
          <w:spacing w:val="-6"/>
          <w:sz w:val="22"/>
        </w:rPr>
        <w:t> </w:t>
      </w:r>
      <w:r>
        <w:rPr>
          <w:sz w:val="22"/>
        </w:rPr>
        <w:t>EU,</w:t>
      </w:r>
      <w:r>
        <w:rPr>
          <w:spacing w:val="-6"/>
          <w:sz w:val="22"/>
        </w:rPr>
        <w:t> </w:t>
      </w:r>
      <w:r>
        <w:rPr>
          <w:sz w:val="22"/>
        </w:rPr>
        <w:t>waaronder</w:t>
      </w:r>
      <w:r>
        <w:rPr>
          <w:spacing w:val="-6"/>
          <w:sz w:val="22"/>
        </w:rPr>
        <w:t> </w:t>
      </w:r>
      <w:r>
        <w:rPr>
          <w:sz w:val="22"/>
        </w:rPr>
        <w:t>alle</w:t>
      </w:r>
      <w:r>
        <w:rPr>
          <w:spacing w:val="-6"/>
          <w:sz w:val="22"/>
        </w:rPr>
        <w:t> </w:t>
      </w:r>
      <w:r>
        <w:rPr>
          <w:sz w:val="22"/>
        </w:rPr>
        <w:t>EU-wetgeving</w:t>
      </w:r>
      <w:r>
        <w:rPr>
          <w:spacing w:val="-6"/>
          <w:sz w:val="22"/>
        </w:rPr>
        <w:t> </w:t>
      </w:r>
      <w:r>
        <w:rPr>
          <w:sz w:val="22"/>
        </w:rPr>
        <w:t>sinds</w:t>
      </w:r>
      <w:r>
        <w:rPr>
          <w:spacing w:val="-6"/>
          <w:sz w:val="22"/>
        </w:rPr>
        <w:t> </w:t>
      </w:r>
      <w:r>
        <w:rPr>
          <w:sz w:val="22"/>
        </w:rPr>
        <w:t>1951</w:t>
      </w:r>
      <w:r>
        <w:rPr>
          <w:spacing w:val="-6"/>
          <w:sz w:val="22"/>
        </w:rPr>
        <w:t> </w:t>
      </w:r>
      <w:r>
        <w:rPr>
          <w:sz w:val="22"/>
        </w:rPr>
        <w:t>in</w:t>
      </w:r>
      <w:r>
        <w:rPr>
          <w:spacing w:val="-6"/>
          <w:sz w:val="22"/>
        </w:rPr>
        <w:t> </w:t>
      </w:r>
      <w:r>
        <w:rPr>
          <w:sz w:val="22"/>
        </w:rPr>
        <w:t>alle</w:t>
      </w:r>
      <w:r>
        <w:rPr>
          <w:spacing w:val="-6"/>
          <w:sz w:val="22"/>
        </w:rPr>
        <w:t> </w:t>
      </w:r>
      <w:r>
        <w:rPr>
          <w:sz w:val="22"/>
        </w:rPr>
        <w:t>officiële talen, krijgt u op EUR</w:t>
      </w:r>
      <w:r>
        <w:rPr>
          <w:rFonts w:ascii="Palatino Linotype" w:hAnsi="Palatino Linotype"/>
          <w:sz w:val="22"/>
        </w:rPr>
        <w:t>‑</w:t>
      </w:r>
      <w:r>
        <w:rPr>
          <w:sz w:val="22"/>
        </w:rPr>
        <w:t>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02"/>
        <w:jc w:val="both"/>
      </w:pPr>
      <w:r>
        <w:rPr/>
        <w:t>Open</w:t>
      </w:r>
      <w:r>
        <w:rPr>
          <w:spacing w:val="-4"/>
        </w:rPr>
        <w:t> </w:t>
      </w:r>
      <w:r>
        <w:rPr/>
        <w:t>data</w:t>
      </w:r>
      <w:r>
        <w:rPr>
          <w:spacing w:val="-3"/>
        </w:rPr>
        <w:t> </w:t>
      </w:r>
      <w:r>
        <w:rPr/>
        <w:t>van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>
          <w:spacing w:val="-5"/>
        </w:rPr>
        <w:t>EU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Het</w:t>
      </w:r>
      <w:r>
        <w:rPr>
          <w:spacing w:val="-5"/>
          <w:sz w:val="22"/>
        </w:rPr>
        <w:t> </w:t>
      </w:r>
      <w:r>
        <w:rPr>
          <w:sz w:val="22"/>
        </w:rPr>
        <w:t>portaal</w:t>
      </w:r>
      <w:r>
        <w:rPr>
          <w:spacing w:val="-5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5"/>
          <w:sz w:val="22"/>
          <w:u w:val="none"/>
        </w:rPr>
        <w:t> </w:t>
      </w:r>
      <w:r>
        <w:rPr>
          <w:sz w:val="22"/>
          <w:u w:val="none"/>
        </w:rPr>
        <w:t>biedt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toegang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tot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opendatabestanden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van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de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instellingen,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organen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en agentschappen van de EU. Deze kunnen gratis worden gedownload en hergebruikt, zowel voor commerciële als voor niet-commerciële doeleinden. Het portaal biedt ook toegang tot een grote hoeveelheid databestanden van de Europese landen.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nl-NL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nl-NL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nl-NL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nl-NL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nl-NL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nl-NL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nl-NL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nl-NL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nl-N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nl-NL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nl-NL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nl-NL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nl-NL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nl-NL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nl-NL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nl-NL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nl-NL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nl-N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nl-NL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nl-NL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nl-NL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nl-NL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nl-NL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nl-NL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nl-NL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nl-NL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nl-N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nl-NL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nl-NL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nl-NL" w:eastAsia="en-US" w:bidi="ar-SA"/>
    </w:rPr>
  </w:style>
  <w:style w:styleId="Heading2" w:type="paragraph">
    <w:name w:val="Heading 2"/>
    <w:basedOn w:val="Normal"/>
    <w:uiPriority w:val="1"/>
    <w:qFormat/>
    <w:pPr>
      <w:spacing w:before="96"/>
      <w:ind w:left="85"/>
      <w:outlineLvl w:val="2"/>
    </w:pPr>
    <w:rPr>
      <w:rFonts w:ascii="Arial" w:hAnsi="Arial" w:eastAsia="Arial" w:cs="Arial"/>
      <w:b/>
      <w:bCs/>
      <w:sz w:val="22"/>
      <w:szCs w:val="22"/>
      <w:lang w:val="nl-NL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nl-NL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nl-N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nl" TargetMode="External"/><Relationship Id="rId11" Type="http://schemas.openxmlformats.org/officeDocument/2006/relationships/hyperlink" Target="https://european-union.europa.eu/contact-eu/write-us_nl" TargetMode="External"/><Relationship Id="rId12" Type="http://schemas.openxmlformats.org/officeDocument/2006/relationships/hyperlink" Target="https://european-union.europa.eu/index_nl" TargetMode="External"/><Relationship Id="rId13" Type="http://schemas.openxmlformats.org/officeDocument/2006/relationships/hyperlink" Target="https://op.europa.eu/nl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nl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NL</dc:title>
  <dcterms:created xsi:type="dcterms:W3CDTF">2026-06-15T09:25:50Z</dcterms:created>
  <dcterms:modified xsi:type="dcterms:W3CDTF">2026-06-15T09:25:50Z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